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49F38" w14:textId="2AEBD849" w:rsidR="00F64268" w:rsidRPr="00F64268" w:rsidRDefault="00F64268" w:rsidP="00F64268">
      <w:bookmarkStart w:id="0" w:name="_Hlk208483750"/>
      <w:r w:rsidRPr="00F64268">
        <w:rPr>
          <w:rFonts w:asciiTheme="majorHAnsi" w:eastAsiaTheme="majorEastAsia" w:hAnsiTheme="majorHAnsi" w:cstheme="majorBidi"/>
          <w:b/>
          <w:bCs/>
          <w:color w:val="365F91" w:themeColor="accent1" w:themeShade="BF"/>
          <w:sz w:val="28"/>
          <w:szCs w:val="28"/>
        </w:rPr>
        <w:t xml:space="preserve">Reimagining </w:t>
      </w:r>
      <w:proofErr w:type="spellStart"/>
      <w:r w:rsidRPr="00F64268">
        <w:rPr>
          <w:rFonts w:asciiTheme="majorHAnsi" w:eastAsiaTheme="majorEastAsia" w:hAnsiTheme="majorHAnsi" w:cstheme="majorBidi"/>
          <w:b/>
          <w:bCs/>
          <w:color w:val="365F91" w:themeColor="accent1" w:themeShade="BF"/>
          <w:sz w:val="28"/>
          <w:szCs w:val="28"/>
        </w:rPr>
        <w:t>FoRB</w:t>
      </w:r>
      <w:proofErr w:type="spellEnd"/>
      <w:r w:rsidRPr="00F64268">
        <w:rPr>
          <w:rFonts w:asciiTheme="majorHAnsi" w:eastAsiaTheme="majorEastAsia" w:hAnsiTheme="majorHAnsi" w:cstheme="majorBidi"/>
          <w:b/>
          <w:bCs/>
          <w:color w:val="365F91" w:themeColor="accent1" w:themeShade="BF"/>
          <w:sz w:val="28"/>
          <w:szCs w:val="28"/>
        </w:rPr>
        <w:t xml:space="preserve"> in East Africa: Insights from the JISRA Research Agenda</w:t>
      </w:r>
    </w:p>
    <w:p w14:paraId="54179540" w14:textId="4270334B" w:rsidR="004E48BA" w:rsidRDefault="00000000">
      <w:r>
        <w:t>Within the</w:t>
      </w:r>
      <w:r w:rsidR="003015C6">
        <w:t xml:space="preserve"> knowledge agenda of the</w:t>
      </w:r>
      <w:r>
        <w:t xml:space="preserve"> Joint Initiative for Strategic Religious Action (JISRA)</w:t>
      </w:r>
      <w:r w:rsidR="00F64268">
        <w:t xml:space="preserve"> </w:t>
      </w:r>
      <w:proofErr w:type="spellStart"/>
      <w:r w:rsidR="00F64268">
        <w:t>programme</w:t>
      </w:r>
      <w:proofErr w:type="spellEnd"/>
      <w:r>
        <w:t xml:space="preserve">, the University of Groningen has developed </w:t>
      </w:r>
      <w:r w:rsidR="00F64268">
        <w:t>a number of</w:t>
      </w:r>
      <w:r>
        <w:t xml:space="preserve"> policy briefs that explore how</w:t>
      </w:r>
      <w:r w:rsidR="00F64268">
        <w:t xml:space="preserve"> the global framework of</w:t>
      </w:r>
      <w:r>
        <w:t xml:space="preserve"> Freedom of Religion or Belief (</w:t>
      </w:r>
      <w:proofErr w:type="spellStart"/>
      <w:r>
        <w:t>FoRB</w:t>
      </w:r>
      <w:proofErr w:type="spellEnd"/>
      <w:r>
        <w:t>) intersect</w:t>
      </w:r>
      <w:r w:rsidR="00F64268">
        <w:t>s</w:t>
      </w:r>
      <w:r>
        <w:t xml:space="preserve"> with peacebuilding</w:t>
      </w:r>
      <w:r w:rsidR="00F64268">
        <w:t xml:space="preserve"> efforts,</w:t>
      </w:r>
      <w:r>
        <w:t xml:space="preserve"> </w:t>
      </w:r>
      <w:r w:rsidR="00F64268">
        <w:t xml:space="preserve">with a regional focus on the wider East Africa region </w:t>
      </w:r>
      <w:r>
        <w:t xml:space="preserve">. The </w:t>
      </w:r>
      <w:r w:rsidR="00F64268">
        <w:t>policy papers</w:t>
      </w:r>
      <w:r>
        <w:t xml:space="preserve"> cover</w:t>
      </w:r>
      <w:r w:rsidR="00F64268">
        <w:t xml:space="preserve"> a range of topics, namely the</w:t>
      </w:r>
      <w:r>
        <w:t xml:space="preserve"> </w:t>
      </w:r>
      <w:r w:rsidR="00F64268">
        <w:t>localization</w:t>
      </w:r>
      <w:r>
        <w:t xml:space="preserve"> of </w:t>
      </w:r>
      <w:proofErr w:type="spellStart"/>
      <w:r>
        <w:t>FoRB</w:t>
      </w:r>
      <w:proofErr w:type="spellEnd"/>
      <w:r>
        <w:t xml:space="preserve">, its nexus with preventing and countering violent extremism (PCVE), and the roles of youth and women in FoRB initiatives. Together, they provide </w:t>
      </w:r>
      <w:r w:rsidR="00F64268">
        <w:t>evidence-based</w:t>
      </w:r>
      <w:r>
        <w:t xml:space="preserve"> insights and practical recommendations for practitioners, policymakers, and communities working to advance inclusive and peaceful societies.</w:t>
      </w:r>
      <w:r w:rsidR="00F64268">
        <w:t xml:space="preserve"> </w:t>
      </w:r>
      <w:r w:rsidR="003015C6" w:rsidRPr="003015C6">
        <w:t xml:space="preserve">The policy papers draw on the findings of the workshop </w:t>
      </w:r>
      <w:r w:rsidR="003015C6" w:rsidRPr="003015C6">
        <w:rPr>
          <w:i/>
          <w:iCs/>
        </w:rPr>
        <w:t>“Reimagining the Role of Religion in Building Peaceful, Just, and Inclusive Societies,”</w:t>
      </w:r>
      <w:r w:rsidR="003015C6" w:rsidRPr="003015C6">
        <w:t xml:space="preserve"> held on 5–6 November 2024 in Nairobi. The event brought together policymakers, scholars, and civil society representatives from both local and international contexts to reflect on the complex role of religion in peacebuilding.</w:t>
      </w:r>
    </w:p>
    <w:p w14:paraId="27C58C9F" w14:textId="77777777" w:rsidR="004E48BA" w:rsidRDefault="00000000">
      <w:pPr>
        <w:pStyle w:val="Heading2"/>
      </w:pPr>
      <w:r>
        <w:t>Localising FoRB: From Global Norms to Local Realities</w:t>
      </w:r>
    </w:p>
    <w:p w14:paraId="60B07777" w14:textId="27D827E6" w:rsidR="004E48BA" w:rsidRDefault="00000000">
      <w:r>
        <w:t xml:space="preserve">The first policy brief examines how FoRB, often promoted as a universal right, gains legitimacy only when translated into locally meaningful practices. International advocacy has at times raised concerns of neo-colonialism or religious proselytisation. Effective localisation means interpreting global norms through the lens of local needs, particularly in contexts of marginalisation and fragile governance. Practical initiatives, such as inter-religious exchanges between Christian and Muslim youth in Kenya, have reduced stigma and strengthened trust. For practitioners, this means embedding FoRB in community-led strategies, while policymakers should prioritise FoRB and religious literacy at all levels. </w:t>
      </w:r>
    </w:p>
    <w:p w14:paraId="155248A3" w14:textId="5659411B" w:rsidR="003015C6" w:rsidRDefault="003015C6">
      <w:r w:rsidRPr="003015C6">
        <w:rPr>
          <w:i/>
          <w:iCs/>
        </w:rPr>
        <w:t xml:space="preserve">“There is the issue of cultural imperialism and the need to protect religious and cultural spaces. One thing that has emerged is that the Global North says that we should have </w:t>
      </w:r>
      <w:proofErr w:type="spellStart"/>
      <w:r w:rsidRPr="003015C6">
        <w:rPr>
          <w:i/>
          <w:iCs/>
        </w:rPr>
        <w:t>FoRB</w:t>
      </w:r>
      <w:proofErr w:type="spellEnd"/>
      <w:r w:rsidRPr="003015C6">
        <w:rPr>
          <w:i/>
          <w:iCs/>
        </w:rPr>
        <w:t xml:space="preserve"> fit into our communities. We have a contextually appropriate </w:t>
      </w:r>
      <w:proofErr w:type="spellStart"/>
      <w:r w:rsidRPr="003015C6">
        <w:rPr>
          <w:i/>
          <w:iCs/>
        </w:rPr>
        <w:t>FoRB</w:t>
      </w:r>
      <w:proofErr w:type="spellEnd"/>
      <w:r w:rsidRPr="003015C6">
        <w:rPr>
          <w:i/>
          <w:iCs/>
        </w:rPr>
        <w:t xml:space="preserve"> that respects our Africanness, and the Global North should not push certain agendas or attach them to funding.”</w:t>
      </w:r>
      <w:r w:rsidRPr="003015C6">
        <w:br/>
        <w:t>— Workshop Participant, November 2024</w:t>
      </w:r>
    </w:p>
    <w:p w14:paraId="6CE409E9" w14:textId="77777777" w:rsidR="004E48BA" w:rsidRDefault="00000000">
      <w:pPr>
        <w:pStyle w:val="Heading2"/>
      </w:pPr>
      <w:r>
        <w:t>FoRB and Preventing Violent Extremism</w:t>
      </w:r>
    </w:p>
    <w:p w14:paraId="035D2F40" w14:textId="2A7F60D2" w:rsidR="004E48BA" w:rsidRDefault="00000000">
      <w:r>
        <w:t xml:space="preserve">The second brief explores the nexus between FoRB and PCVE in a region where religion is often framed as a security threat. Extremist violence in East Africa is frequently associated with Islamist groups, but this narrow lens obscures broader structural drivers such as land disputes, political manipulation, and state violence. FoRB platforms offer spaces to address grievances and develop credible counter-narratives. In places like Lamu, Kenya, conflicts labelled as terrorism were actually rooted in local land struggles. For practitioners, this means designing FoRB-PCVE initiatives that address root causes, while policymakers must broaden definitions of extremism and ensure inclusive national action plans. </w:t>
      </w:r>
    </w:p>
    <w:p w14:paraId="071D7B3E" w14:textId="37A72F95" w:rsidR="003015C6" w:rsidRDefault="003015C6">
      <w:r w:rsidRPr="003015C6">
        <w:rPr>
          <w:i/>
          <w:iCs/>
        </w:rPr>
        <w:t xml:space="preserve">“In Lamu, we often have what the media calls terror attacks. But according to my observation, these are not terror attacks. They are not Al-Shabab. They are local militia groups or </w:t>
      </w:r>
      <w:r w:rsidRPr="003015C6">
        <w:rPr>
          <w:i/>
          <w:iCs/>
        </w:rPr>
        <w:lastRenderedPageBreak/>
        <w:t>mercenaries paid by politicians. These attacks are usually used to scare squatters off land. The idea is actually to frighten them away, because some of these lands also have minerals.”</w:t>
      </w:r>
      <w:r w:rsidRPr="003015C6">
        <w:br/>
        <w:t>— Workshop Participant, November 2024</w:t>
      </w:r>
    </w:p>
    <w:p w14:paraId="28EA6A9D" w14:textId="77777777" w:rsidR="004E48BA" w:rsidRDefault="00000000">
      <w:pPr>
        <w:pStyle w:val="Heading2"/>
      </w:pPr>
      <w:r>
        <w:t>Youth Engagement in FoRB Initiatives</w:t>
      </w:r>
    </w:p>
    <w:p w14:paraId="4408E400" w14:textId="73B22FF4" w:rsidR="004E48BA" w:rsidRDefault="00000000">
      <w:r>
        <w:t xml:space="preserve">With Africa’s youth population rapidly expanding, the third brief underscores the importance of meaningful youth participation in FoRB initiatives. Young people are too often seen only as victims or perpetrators, rather than leaders and peacebuilders. Gen Z movements, such as the recent protests in Kenya, reveal the power of youth to mobilise through digital platforms. Initiatives like the African Union’s iDove network illustrate how youth-led approaches can generate innovative responses to violent extremism and strengthen FoRB. Practitioners should design youth-friendly FoRB spaces and foster intergenerational dialogue, while policymakers should institutionalise youth participation through frameworks such as UNSCR 2250. </w:t>
      </w:r>
    </w:p>
    <w:p w14:paraId="7594CD7B" w14:textId="5276D035" w:rsidR="00BB3546" w:rsidRDefault="00BB3546">
      <w:r w:rsidRPr="00BB3546">
        <w:rPr>
          <w:i/>
          <w:iCs/>
        </w:rPr>
        <w:t>“The face of the youth is missing. With the Gen Z uprisings, not only in Kenya but across the region, young people are moving away from our religious setups. Membership in our churches dropped drastically after COVID-19, and many young people have not come back. Where are they now? And when they reappear, will they return in the same way we once knew them?”</w:t>
      </w:r>
      <w:r w:rsidRPr="00BB3546">
        <w:br/>
        <w:t>— Workshop Participant, November 2024</w:t>
      </w:r>
    </w:p>
    <w:p w14:paraId="241F9B1C" w14:textId="77777777" w:rsidR="004E48BA" w:rsidRDefault="00000000">
      <w:pPr>
        <w:pStyle w:val="Heading2"/>
      </w:pPr>
      <w:r>
        <w:t>Women’s Leadership in Protecting FoRB</w:t>
      </w:r>
    </w:p>
    <w:p w14:paraId="6B8E431B" w14:textId="15E6916A" w:rsidR="004E48BA" w:rsidRDefault="00000000">
      <w:r>
        <w:t xml:space="preserve">The fourth brief highlights the pivotal role of women in advancing FoRB, despite their underrepresentation in leadership positions. Women form the majority of congregants in many communities yet remain sidelined by patriarchal structures and discriminatory laws. Conflicts and extremist violence disproportionately harm women but also create opportunities for leadership in resilience and peacebuilding. In Sudan, vague laws on sexual violence left women vulnerable for decades, underscoring the need for stronger legal protections. For practitioners, funding women-led FoRB initiatives and creating inclusive platforms is crucial. Policymakers must prioritise gender-sensitive legislation to ensure women’s rights form the foundation of FoRB protections. </w:t>
      </w:r>
    </w:p>
    <w:p w14:paraId="0B2870E9" w14:textId="77777777" w:rsidR="00BB3546" w:rsidRPr="00BB3546" w:rsidRDefault="00BB3546" w:rsidP="00BB3546">
      <w:pPr>
        <w:rPr>
          <w:lang w:val="en-GB"/>
        </w:rPr>
      </w:pPr>
      <w:r w:rsidRPr="00BB3546">
        <w:rPr>
          <w:i/>
          <w:iCs/>
          <w:lang w:val="en-GB"/>
        </w:rPr>
        <w:t>“Religion is way too important for women not to be engaged in. It is critical for our existence, well-being, and humanity — and we should not let go of that as we go through the struggle.”</w:t>
      </w:r>
      <w:r w:rsidRPr="00BB3546">
        <w:rPr>
          <w:lang w:val="en-GB"/>
        </w:rPr>
        <w:br/>
        <w:t>— Dr. Ziba Mir Hosseini, cited in workshop discussions</w:t>
      </w:r>
    </w:p>
    <w:p w14:paraId="4BB15D04" w14:textId="77777777" w:rsidR="004E48BA" w:rsidRDefault="00000000">
      <w:pPr>
        <w:pStyle w:val="Heading2"/>
      </w:pPr>
      <w:r>
        <w:t>Conclusion</w:t>
      </w:r>
    </w:p>
    <w:p w14:paraId="2BF7172A" w14:textId="77777777" w:rsidR="00BB3546" w:rsidRDefault="00BB3546">
      <w:r w:rsidRPr="00BB3546">
        <w:t xml:space="preserve">Taken together, the four briefs show that </w:t>
      </w:r>
      <w:proofErr w:type="spellStart"/>
      <w:r w:rsidRPr="00BB3546">
        <w:t>FoRB</w:t>
      </w:r>
      <w:proofErr w:type="spellEnd"/>
      <w:r w:rsidRPr="00BB3546">
        <w:t xml:space="preserve"> can only advance when grounded in lived realities, inclusive of diverse voices, and responsive to structural injustices. </w:t>
      </w:r>
      <w:proofErr w:type="spellStart"/>
      <w:r w:rsidRPr="00BB3546">
        <w:t>Localisation</w:t>
      </w:r>
      <w:proofErr w:type="spellEnd"/>
      <w:r w:rsidRPr="00BB3546">
        <w:t xml:space="preserve">, the relationship between </w:t>
      </w:r>
      <w:proofErr w:type="spellStart"/>
      <w:r w:rsidRPr="00BB3546">
        <w:t>FoRB</w:t>
      </w:r>
      <w:proofErr w:type="spellEnd"/>
      <w:r w:rsidRPr="00BB3546">
        <w:t xml:space="preserve"> and PCVE, meaningful youth participation, and women’s leadership emerge as cross-cutting priorities. For practitioners, this means designing </w:t>
      </w:r>
      <w:proofErr w:type="spellStart"/>
      <w:r w:rsidRPr="00BB3546">
        <w:t>FoRB</w:t>
      </w:r>
      <w:proofErr w:type="spellEnd"/>
      <w:r w:rsidRPr="00BB3546">
        <w:t xml:space="preserve"> initiatives that </w:t>
      </w:r>
      <w:proofErr w:type="spellStart"/>
      <w:r w:rsidRPr="00BB3546">
        <w:t>prioritise</w:t>
      </w:r>
      <w:proofErr w:type="spellEnd"/>
      <w:r w:rsidRPr="00BB3546">
        <w:t xml:space="preserve"> community ownership and inclusive partnerships. For policymakers, it requires embedding </w:t>
      </w:r>
      <w:proofErr w:type="spellStart"/>
      <w:r w:rsidRPr="00BB3546">
        <w:t>FoRB</w:t>
      </w:r>
      <w:proofErr w:type="spellEnd"/>
      <w:r w:rsidRPr="00BB3546">
        <w:t xml:space="preserve"> in national strategies, expanding inclusive governance, and empowering local actors. When engaged inclusively and contextually, </w:t>
      </w:r>
      <w:r w:rsidRPr="00BB3546">
        <w:lastRenderedPageBreak/>
        <w:t>religion is not a threat but a vital resource for building peaceful and just societies. Importantly, the lessons from East Africa resonate beyond the region, offering meaningful insights for the global JISRA context and for wider peacebuilding efforts worldwide.</w:t>
      </w:r>
    </w:p>
    <w:p w14:paraId="0FB8E50D" w14:textId="486A2AC1" w:rsidR="00BB3546" w:rsidRDefault="00BB3546">
      <w:r>
        <w:t xml:space="preserve">You can find all four of this series of policy papers attached to this e-mail. </w:t>
      </w:r>
      <w:bookmarkEnd w:id="0"/>
    </w:p>
    <w:sectPr w:rsidR="00BB354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20740840">
    <w:abstractNumId w:val="8"/>
  </w:num>
  <w:num w:numId="2" w16cid:durableId="233010044">
    <w:abstractNumId w:val="6"/>
  </w:num>
  <w:num w:numId="3" w16cid:durableId="241573527">
    <w:abstractNumId w:val="5"/>
  </w:num>
  <w:num w:numId="4" w16cid:durableId="1285767867">
    <w:abstractNumId w:val="4"/>
  </w:num>
  <w:num w:numId="5" w16cid:durableId="1908690258">
    <w:abstractNumId w:val="7"/>
  </w:num>
  <w:num w:numId="6" w16cid:durableId="1894387397">
    <w:abstractNumId w:val="3"/>
  </w:num>
  <w:num w:numId="7" w16cid:durableId="2113619787">
    <w:abstractNumId w:val="2"/>
  </w:num>
  <w:num w:numId="8" w16cid:durableId="952983888">
    <w:abstractNumId w:val="1"/>
  </w:num>
  <w:num w:numId="9" w16cid:durableId="208734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015C6"/>
    <w:rsid w:val="00326F90"/>
    <w:rsid w:val="004E48BA"/>
    <w:rsid w:val="009D0027"/>
    <w:rsid w:val="00AA1D8D"/>
    <w:rsid w:val="00B47730"/>
    <w:rsid w:val="00BB3546"/>
    <w:rsid w:val="00CB0664"/>
    <w:rsid w:val="00F64268"/>
    <w:rsid w:val="00F944A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8D956C"/>
  <w14:defaultImageDpi w14:val="300"/>
  <w15:docId w15:val="{61061EB7-68D4-4BB6-9C6B-6C3C2521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258390">
      <w:bodyDiv w:val="1"/>
      <w:marLeft w:val="0"/>
      <w:marRight w:val="0"/>
      <w:marTop w:val="0"/>
      <w:marBottom w:val="0"/>
      <w:divBdr>
        <w:top w:val="none" w:sz="0" w:space="0" w:color="auto"/>
        <w:left w:val="none" w:sz="0" w:space="0" w:color="auto"/>
        <w:bottom w:val="none" w:sz="0" w:space="0" w:color="auto"/>
        <w:right w:val="none" w:sz="0" w:space="0" w:color="auto"/>
      </w:divBdr>
      <w:divsChild>
        <w:div w:id="769474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870651">
      <w:bodyDiv w:val="1"/>
      <w:marLeft w:val="0"/>
      <w:marRight w:val="0"/>
      <w:marTop w:val="0"/>
      <w:marBottom w:val="0"/>
      <w:divBdr>
        <w:top w:val="none" w:sz="0" w:space="0" w:color="auto"/>
        <w:left w:val="none" w:sz="0" w:space="0" w:color="auto"/>
        <w:bottom w:val="none" w:sz="0" w:space="0" w:color="auto"/>
        <w:right w:val="none" w:sz="0" w:space="0" w:color="auto"/>
      </w:divBdr>
      <w:divsChild>
        <w:div w:id="1487820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Mark Hann</cp:lastModifiedBy>
  <cp:revision>2</cp:revision>
  <dcterms:created xsi:type="dcterms:W3CDTF">2025-09-11T09:53:00Z</dcterms:created>
  <dcterms:modified xsi:type="dcterms:W3CDTF">2025-09-11T09:53:00Z</dcterms:modified>
  <cp:category/>
</cp:coreProperties>
</file>